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E. Llamas/Alpacas (Camelids) - No exhibit at Jackson County Fair</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For more information on llama/alpaca health requirements call the Indiana State Board of Animal Health at (317) 544-2400 or visit BOAH’s website at: www.in.gov/boah/species information/cattle-sheep-and-other-ruminants/camelids/camelid-entry-requirements/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1. SEE GENERAL REQUIREMENTS FOR ALL SPECIES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2. Identification (of the following)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a. Physical description of the animal including: name, age, breed, color, gender, distinctive markings, cowlicks, scars, blemishes, biometric measures, etc.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b. Digital photographs sufficient to identify the individual animal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c. Official ear tag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d. Tattoo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e. USDA-approved electronic implant (microchip)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3. Testing - No testing is required on any llamas or alpacas (camelid) for exhibition in Indiana.</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F. Poultry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For more information on poultry health requirements, call the Indiana State Board of Animal Health at (317)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544-2400 or visit BOAH’s website at: www.in.gov/boah/species information/</w:t>
      </w:r>
      <w:proofErr w:type="spellStart"/>
      <w:r>
        <w:rPr>
          <w:rFonts w:ascii="Century Gothic" w:hAnsi="Century Gothic" w:cs="Century Gothic"/>
          <w:sz w:val="20"/>
          <w:szCs w:val="20"/>
        </w:rPr>
        <w:t>avianbirds</w:t>
      </w:r>
      <w:proofErr w:type="spellEnd"/>
      <w:r>
        <w:rPr>
          <w:rFonts w:ascii="Century Gothic" w:hAnsi="Century Gothic" w:cs="Century Gothic"/>
          <w:sz w:val="20"/>
          <w:szCs w:val="20"/>
        </w:rPr>
        <w:t xml:space="preserve">/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Indiana defines poultry </w:t>
      </w:r>
      <w:proofErr w:type="gramStart"/>
      <w:r>
        <w:rPr>
          <w:rFonts w:ascii="Century Gothic" w:hAnsi="Century Gothic" w:cs="Century Gothic"/>
          <w:sz w:val="20"/>
          <w:szCs w:val="20"/>
        </w:rPr>
        <w:t>as:</w:t>
      </w:r>
      <w:proofErr w:type="gramEnd"/>
      <w:r>
        <w:rPr>
          <w:rFonts w:ascii="Century Gothic" w:hAnsi="Century Gothic" w:cs="Century Gothic"/>
          <w:sz w:val="20"/>
          <w:szCs w:val="20"/>
        </w:rPr>
        <w:t xml:space="preserve"> chickens, turkeys, ostriches, emus, rheas, cassowaries, waterfowl (domesticated fowl that normally swim, such as ducks, geese and swans), and game birds (domesticated fowl such as pheasants, pea fowl, partridge, quail, grouse, and guineas) but NOT doves and pigeons.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1. SEE GENERAL REQUIREMENTS FOR ALL SPECIES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2. Identification - No individual identification is required on any poultry for exhibition in Indiana.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3. Testing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All poultry presented for exhibition, except waterfowl, must meet ONE of the following requirements: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a. Test negative for </w:t>
      </w:r>
      <w:proofErr w:type="spellStart"/>
      <w:r>
        <w:rPr>
          <w:rFonts w:ascii="Century Gothic" w:hAnsi="Century Gothic" w:cs="Century Gothic"/>
          <w:sz w:val="20"/>
          <w:szCs w:val="20"/>
        </w:rPr>
        <w:t>pullorum</w:t>
      </w:r>
      <w:proofErr w:type="spellEnd"/>
      <w:r>
        <w:rPr>
          <w:rFonts w:ascii="Century Gothic" w:hAnsi="Century Gothic" w:cs="Century Gothic"/>
          <w:sz w:val="20"/>
          <w:szCs w:val="20"/>
        </w:rPr>
        <w:t xml:space="preserve">-typhoid within 90 days prior to the date of the exhibition. </w:t>
      </w:r>
    </w:p>
    <w:p w:rsidR="00F125DA" w:rsidRDefault="00F125DA" w:rsidP="00F125DA">
      <w:pPr>
        <w:pStyle w:val="BasicParagraph"/>
        <w:rPr>
          <w:rFonts w:ascii="Century Gothic" w:hAnsi="Century Gothic" w:cs="Century Gothic"/>
          <w:sz w:val="20"/>
          <w:szCs w:val="20"/>
        </w:rPr>
      </w:pPr>
      <w:r>
        <w:rPr>
          <w:rFonts w:ascii="Century Gothic" w:hAnsi="Century Gothic" w:cs="Century Gothic"/>
          <w:sz w:val="20"/>
          <w:szCs w:val="20"/>
        </w:rPr>
        <w:t xml:space="preserve">b. Hatched from eggs that originate from a certified NPIP </w:t>
      </w:r>
      <w:proofErr w:type="spellStart"/>
      <w:r>
        <w:rPr>
          <w:rFonts w:ascii="Century Gothic" w:hAnsi="Century Gothic" w:cs="Century Gothic"/>
          <w:sz w:val="20"/>
          <w:szCs w:val="20"/>
        </w:rPr>
        <w:t>pullorum</w:t>
      </w:r>
      <w:proofErr w:type="spellEnd"/>
      <w:r>
        <w:rPr>
          <w:rFonts w:ascii="Century Gothic" w:hAnsi="Century Gothic" w:cs="Century Gothic"/>
          <w:sz w:val="20"/>
          <w:szCs w:val="20"/>
        </w:rPr>
        <w:t xml:space="preserve">-typhoid clean parent flock. </w:t>
      </w:r>
    </w:p>
    <w:p w:rsidR="00F9661F" w:rsidRDefault="00F125DA" w:rsidP="00F125DA">
      <w:r>
        <w:rPr>
          <w:rFonts w:ascii="Century Gothic" w:hAnsi="Century Gothic" w:cs="Century Gothic"/>
          <w:sz w:val="20"/>
          <w:szCs w:val="20"/>
        </w:rPr>
        <w:t xml:space="preserve">c. Originate from a flock that is certified NPIP </w:t>
      </w:r>
      <w:proofErr w:type="spellStart"/>
      <w:r>
        <w:rPr>
          <w:rFonts w:ascii="Century Gothic" w:hAnsi="Century Gothic" w:cs="Century Gothic"/>
          <w:sz w:val="20"/>
          <w:szCs w:val="20"/>
        </w:rPr>
        <w:t>pullorum</w:t>
      </w:r>
      <w:proofErr w:type="spellEnd"/>
      <w:r>
        <w:rPr>
          <w:rFonts w:ascii="Century Gothic" w:hAnsi="Century Gothic" w:cs="Century Gothic"/>
          <w:sz w:val="20"/>
          <w:szCs w:val="20"/>
        </w:rPr>
        <w:t>-typhoid clean.</w:t>
      </w:r>
      <w:bookmarkStart w:id="0" w:name="_GoBack"/>
      <w:bookmarkEnd w:id="0"/>
    </w:p>
    <w:sectPr w:rsidR="00F96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DA"/>
    <w:rsid w:val="006F257E"/>
    <w:rsid w:val="00F125DA"/>
    <w:rsid w:val="00F9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5612D-4839-4614-9590-282BA97F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125DA"/>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Rieckers, Kris L</cp:lastModifiedBy>
  <cp:revision>1</cp:revision>
  <dcterms:created xsi:type="dcterms:W3CDTF">2026-04-02T20:38:00Z</dcterms:created>
  <dcterms:modified xsi:type="dcterms:W3CDTF">2026-04-02T20:50:00Z</dcterms:modified>
</cp:coreProperties>
</file>